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6E64B" w14:textId="232626EB" w:rsidR="00296036" w:rsidRDefault="00F74237">
      <w:r>
        <w:t>July 10, 2023</w:t>
      </w:r>
    </w:p>
    <w:p w14:paraId="39300204" w14:textId="337DD960" w:rsidR="00F74237" w:rsidRDefault="00F74237">
      <w:r>
        <w:t>Evidence &amp; Objections salon</w:t>
      </w:r>
    </w:p>
    <w:p w14:paraId="199D6617" w14:textId="476209B9" w:rsidR="009A45C6" w:rsidRDefault="009A45C6">
      <w:r>
        <w:t>Can download FRE and TRE</w:t>
      </w:r>
    </w:p>
    <w:p w14:paraId="253C1004" w14:textId="77777777" w:rsidR="005C08C1" w:rsidRDefault="005C08C1">
      <w:r>
        <w:t>Purpose is to allow you to ask questions</w:t>
      </w:r>
    </w:p>
    <w:p w14:paraId="764482A2" w14:textId="77777777" w:rsidR="005C08C1" w:rsidRDefault="005C08C1">
      <w:r>
        <w:t>Keep in mind that if you put 5 arbitrators in a room to discuss rules of evidence you may get 7 different answers to each question</w:t>
      </w:r>
    </w:p>
    <w:p w14:paraId="3CA8EEC6" w14:textId="25C0F35A" w:rsidR="00F74237" w:rsidRDefault="00F74237">
      <w:r>
        <w:t>Rules of evidence generally do not apply</w:t>
      </w:r>
    </w:p>
    <w:p w14:paraId="4F3CA96E" w14:textId="3A161C29" w:rsidR="005B0134" w:rsidRDefault="005B0134">
      <w:r>
        <w:tab/>
        <w:t xml:space="preserve">When advocates object one response is </w:t>
      </w:r>
    </w:p>
    <w:p w14:paraId="14134840" w14:textId="7AA95BB5" w:rsidR="005B0134" w:rsidRDefault="005B0134">
      <w:r>
        <w:tab/>
        <w:t xml:space="preserve">Help me understand what is the source for the rules of evidence applying </w:t>
      </w:r>
    </w:p>
    <w:p w14:paraId="55C604FC" w14:textId="54689FB7" w:rsidR="00F74237" w:rsidRDefault="00F74237">
      <w:r>
        <w:tab/>
        <w:t>Exception TEA</w:t>
      </w:r>
    </w:p>
    <w:p w14:paraId="1A07C50C" w14:textId="474AA2D7" w:rsidR="00F74237" w:rsidRDefault="00F74237" w:rsidP="00F74237">
      <w:pPr>
        <w:ind w:left="720" w:hanging="720"/>
      </w:pPr>
      <w:r>
        <w:tab/>
        <w:t>Pointer allow each party to make record and once the record is complete will only consider admissible evidence</w:t>
      </w:r>
    </w:p>
    <w:p w14:paraId="115590D9" w14:textId="36FD3746" w:rsidR="00F74237" w:rsidRDefault="00F74237" w:rsidP="00F74237">
      <w:pPr>
        <w:ind w:left="720" w:hanging="720"/>
      </w:pPr>
      <w:r>
        <w:tab/>
        <w:t>Pointer just like a district court judge I will allow you to make your record and objections</w:t>
      </w:r>
    </w:p>
    <w:p w14:paraId="1C1221E9" w14:textId="2F9CEA15" w:rsidR="009A45C6" w:rsidRDefault="009A45C6" w:rsidP="00F74237">
      <w:pPr>
        <w:ind w:left="720" w:hanging="720"/>
      </w:pPr>
      <w:r>
        <w:tab/>
        <w:t>It would help me if you rephrased that questions</w:t>
      </w:r>
    </w:p>
    <w:p w14:paraId="11E9A71A" w14:textId="3B4C83A0" w:rsidR="00F74237" w:rsidRDefault="00F74237" w:rsidP="00F74237">
      <w:pPr>
        <w:ind w:left="720" w:hanging="720"/>
      </w:pPr>
      <w:r>
        <w:t>Hearsay</w:t>
      </w:r>
    </w:p>
    <w:p w14:paraId="354FD2B1" w14:textId="1F1EF335" w:rsidR="00F74237" w:rsidRDefault="00F74237" w:rsidP="00F74237">
      <w:pPr>
        <w:ind w:left="720" w:hanging="720"/>
      </w:pPr>
      <w:r>
        <w:tab/>
        <w:t>Generally can over rule because there are so many exceptions</w:t>
      </w:r>
    </w:p>
    <w:p w14:paraId="6BE63E1F" w14:textId="3E5794C6" w:rsidR="005B0134" w:rsidRDefault="005B0134" w:rsidP="00F74237">
      <w:pPr>
        <w:ind w:left="720" w:hanging="720"/>
      </w:pPr>
      <w:r>
        <w:tab/>
        <w:t>Generally no one understands hearsay</w:t>
      </w:r>
    </w:p>
    <w:p w14:paraId="1705A88A" w14:textId="77777777" w:rsidR="005B0134" w:rsidRDefault="005B0134" w:rsidP="00F74237">
      <w:pPr>
        <w:ind w:left="720" w:hanging="720"/>
      </w:pPr>
      <w:r>
        <w:t>Relevance</w:t>
      </w:r>
    </w:p>
    <w:p w14:paraId="0A6DD1FF" w14:textId="1BD6B5B5" w:rsidR="005B0134" w:rsidRDefault="005B0134" w:rsidP="00F74237">
      <w:pPr>
        <w:ind w:left="720" w:hanging="720"/>
      </w:pPr>
      <w:r>
        <w:tab/>
        <w:t>Note: You never know what information is helpful until you have heard it all and begin to review the record</w:t>
      </w:r>
    </w:p>
    <w:p w14:paraId="03349692" w14:textId="065941FB" w:rsidR="005B0134" w:rsidRDefault="005B0134" w:rsidP="00F74237">
      <w:pPr>
        <w:ind w:left="720" w:hanging="720"/>
      </w:pPr>
      <w:r>
        <w:tab/>
        <w:t>Again allow each side to make its record is an answer</w:t>
      </w:r>
    </w:p>
    <w:p w14:paraId="002E8E0B" w14:textId="2D2F63A8" w:rsidR="005B0134" w:rsidRDefault="005B0134" w:rsidP="00F74237">
      <w:pPr>
        <w:ind w:left="720" w:hanging="720"/>
      </w:pPr>
      <w:r>
        <w:tab/>
        <w:t>Allow it for what it is worth is a traditional answer but may be more irritating to the advocates</w:t>
      </w:r>
    </w:p>
    <w:p w14:paraId="1C969E5A" w14:textId="25178B39" w:rsidR="00F74237" w:rsidRDefault="00F74237" w:rsidP="00F74237">
      <w:pPr>
        <w:ind w:left="720" w:hanging="720"/>
      </w:pPr>
      <w:r>
        <w:t xml:space="preserve">Privilege objections </w:t>
      </w:r>
    </w:p>
    <w:p w14:paraId="51790A75" w14:textId="5A9AC152" w:rsidR="00F74237" w:rsidRDefault="00F74237" w:rsidP="00F74237">
      <w:pPr>
        <w:ind w:left="720" w:hanging="720"/>
      </w:pPr>
      <w:r>
        <w:tab/>
        <w:t>Pointer</w:t>
      </w:r>
      <w:r w:rsidR="005B0134">
        <w:t>:</w:t>
      </w:r>
      <w:r>
        <w:t xml:space="preserve"> in camera inspection may be solution</w:t>
      </w:r>
    </w:p>
    <w:p w14:paraId="789D797E" w14:textId="7DF75AD9" w:rsidR="00F74237" w:rsidRDefault="00F74237" w:rsidP="00F74237">
      <w:pPr>
        <w:ind w:left="720" w:hanging="720"/>
      </w:pPr>
      <w:r>
        <w:tab/>
        <w:t>Pointer</w:t>
      </w:r>
      <w:r w:rsidR="005B0134">
        <w:t>:</w:t>
      </w:r>
      <w:r>
        <w:t xml:space="preserve"> once the evidence is presented cannot unring that bell</w:t>
      </w:r>
    </w:p>
    <w:p w14:paraId="6910EE04" w14:textId="4E51B1D2" w:rsidR="005B0134" w:rsidRDefault="005B0134" w:rsidP="00F74237">
      <w:pPr>
        <w:ind w:left="720" w:hanging="720"/>
      </w:pPr>
      <w:r>
        <w:tab/>
        <w:t>Pointer: if in doubt take under advisement and call someone on a break</w:t>
      </w:r>
    </w:p>
    <w:p w14:paraId="26F9BC09" w14:textId="6B11B878" w:rsidR="005B0134" w:rsidRDefault="005B0134" w:rsidP="00F74237">
      <w:pPr>
        <w:ind w:left="720" w:hanging="720"/>
      </w:pPr>
      <w:r>
        <w:t>Asked and answered</w:t>
      </w:r>
    </w:p>
    <w:p w14:paraId="7CDA65FE" w14:textId="4B6DF3A1" w:rsidR="005B0134" w:rsidRDefault="005B0134" w:rsidP="00F74237">
      <w:pPr>
        <w:ind w:left="720" w:hanging="720"/>
      </w:pPr>
      <w:r>
        <w:lastRenderedPageBreak/>
        <w:tab/>
        <w:t>Pointer often upheld to move hearing along</w:t>
      </w:r>
    </w:p>
    <w:p w14:paraId="70DD7DCB" w14:textId="32F12EC7" w:rsidR="005B0134" w:rsidRDefault="005B0134" w:rsidP="00F74237">
      <w:pPr>
        <w:ind w:left="720" w:hanging="720"/>
      </w:pPr>
      <w:r>
        <w:t>Compound</w:t>
      </w:r>
    </w:p>
    <w:p w14:paraId="30423A74" w14:textId="5303471F" w:rsidR="005B0134" w:rsidRDefault="005B0134" w:rsidP="00F74237">
      <w:pPr>
        <w:ind w:left="720" w:hanging="720"/>
      </w:pPr>
      <w:r>
        <w:tab/>
        <w:t>Pointer often upheld as it will help you understand the answer better</w:t>
      </w:r>
    </w:p>
    <w:p w14:paraId="72F3CD14" w14:textId="31FA48C9" w:rsidR="009A45C6" w:rsidRDefault="009A45C6" w:rsidP="00F74237">
      <w:pPr>
        <w:ind w:left="720" w:hanging="720"/>
      </w:pPr>
      <w:r>
        <w:t xml:space="preserve">Lack of foundation </w:t>
      </w:r>
    </w:p>
    <w:p w14:paraId="138CF467" w14:textId="0C7056B3" w:rsidR="009A45C6" w:rsidRDefault="009A45C6" w:rsidP="00F74237">
      <w:pPr>
        <w:ind w:left="720" w:hanging="720"/>
      </w:pPr>
      <w:r>
        <w:tab/>
        <w:t>Pointer often upheld</w:t>
      </w:r>
    </w:p>
    <w:p w14:paraId="345C172C" w14:textId="4DEAFEE3" w:rsidR="009A45C6" w:rsidRDefault="009A45C6" w:rsidP="00F74237">
      <w:pPr>
        <w:ind w:left="720" w:hanging="720"/>
      </w:pPr>
      <w:r>
        <w:tab/>
        <w:t>It would help me if you rephrased that question</w:t>
      </w:r>
    </w:p>
    <w:p w14:paraId="19B9CAD6" w14:textId="4B5E5479" w:rsidR="005B0134" w:rsidRDefault="005B0134" w:rsidP="00F74237">
      <w:pPr>
        <w:ind w:left="720" w:hanging="720"/>
      </w:pPr>
      <w:r>
        <w:t>Leading</w:t>
      </w:r>
    </w:p>
    <w:p w14:paraId="691F9467" w14:textId="77777777" w:rsidR="009A45C6" w:rsidRDefault="005B0134" w:rsidP="00F74237">
      <w:pPr>
        <w:ind w:left="720" w:hanging="720"/>
      </w:pPr>
      <w:r>
        <w:tab/>
      </w:r>
      <w:r w:rsidR="009A45C6">
        <w:t>Pointer allowed during cross and hostile witness</w:t>
      </w:r>
    </w:p>
    <w:p w14:paraId="0CB9BBAA" w14:textId="28769ADB" w:rsidR="005B0134" w:rsidRDefault="005B0134" w:rsidP="009A45C6">
      <w:pPr>
        <w:ind w:left="720"/>
      </w:pPr>
      <w:r>
        <w:t>Pointer often upheld because it was</w:t>
      </w:r>
    </w:p>
    <w:p w14:paraId="345A1F8F" w14:textId="5E8CDB26" w:rsidR="005B0134" w:rsidRDefault="005B0134" w:rsidP="00F74237">
      <w:pPr>
        <w:ind w:left="720" w:hanging="720"/>
      </w:pPr>
      <w:r>
        <w:tab/>
        <w:t>Note: perhaps comment that you note when questions are leading even if there is no objection and you take it into account when deciding credibility issues</w:t>
      </w:r>
    </w:p>
    <w:p w14:paraId="50B9BE63" w14:textId="254D74E9" w:rsidR="005B0134" w:rsidRDefault="005B0134" w:rsidP="00F74237">
      <w:pPr>
        <w:ind w:left="720" w:hanging="720"/>
      </w:pPr>
      <w:r>
        <w:t>Credibility and accuracy</w:t>
      </w:r>
    </w:p>
    <w:p w14:paraId="43DF27CF" w14:textId="582F1E35" w:rsidR="005B0134" w:rsidRPr="00076B04" w:rsidRDefault="005B0134" w:rsidP="00A177C1">
      <w:pPr>
        <w:pStyle w:val="ListParagraph"/>
        <w:widowControl w:val="0"/>
        <w:spacing w:after="80"/>
        <w:ind w:left="0"/>
        <w:contextualSpacing w:val="0"/>
        <w:jc w:val="both"/>
      </w:pPr>
      <w:r w:rsidRPr="00076B04">
        <w:rPr>
          <w:bCs/>
        </w:rPr>
        <w:t xml:space="preserve">The Arbitrator based credibility and accuracy findings on facts that tend in reason to prove or disprove the witnesses’ credibility and accuracy. For example, testimony may be inaccurate because of a defect in </w:t>
      </w:r>
      <w:r>
        <w:rPr>
          <w:bCs/>
        </w:rPr>
        <w:t xml:space="preserve">the </w:t>
      </w:r>
      <w:r w:rsidRPr="00076B04">
        <w:rPr>
          <w:bCs/>
        </w:rPr>
        <w:t xml:space="preserve">perception of events or the common foibles of human memory. Other factors include the witnesses’ opportunity, capacity, and ability to see or hear an event; the attention paid to the event; the presence or absence of stress, trauma, or emotions at the time of the event; the capacity and ability to recall events; consistency or inconsistencies; self-contradictions; substantiating or conflicting documents, testimony, or events; the opportunity to test the accuracy, completeness, and reliability of the witness's memory; the testimony’s plausibility; witnesses’ biases, and any animosity among witnesses. Elkouri at 8-93 through 8-98; </w:t>
      </w:r>
      <w:r w:rsidRPr="00076B04">
        <w:rPr>
          <w:bCs/>
          <w:i/>
          <w:iCs/>
        </w:rPr>
        <w:t>Discipline and Discharge in Arbitration</w:t>
      </w:r>
      <w:r w:rsidRPr="00076B04">
        <w:rPr>
          <w:bCs/>
        </w:rPr>
        <w:t xml:space="preserve"> at 12-12 through 12-14 (Norman Brand and Melissa H. Biren, Editors-in-Chief, 3d ed., 2015); </w:t>
      </w:r>
      <w:r w:rsidRPr="00076B04">
        <w:rPr>
          <w:bCs/>
          <w:i/>
          <w:iCs/>
        </w:rPr>
        <w:t>Evidence in Arbitration</w:t>
      </w:r>
      <w:r w:rsidRPr="00076B04">
        <w:rPr>
          <w:bCs/>
        </w:rPr>
        <w:t>, pp. 108-130 (Marvin F. Hill, Jr and Anthony V. Sinicropi, 2d Ed. 1987); “</w:t>
      </w:r>
      <w:hyperlink r:id="rId5" w:history="1">
        <w:r w:rsidRPr="00076B04">
          <w:rPr>
            <w:rStyle w:val="Hyperlink"/>
            <w:bCs/>
          </w:rPr>
          <w:t>Problems of Proof in the Arbitration Process: Report of the West Coast Tripartite Committee</w:t>
        </w:r>
      </w:hyperlink>
      <w:r w:rsidRPr="00076B04">
        <w:rPr>
          <w:bCs/>
        </w:rPr>
        <w:t>,” 19th Annual Meeting, National Academy of Arbitrators (BNA, 1967); Russell W. Strand and Lori D. Heitman, “The Forensic Experiential Trauma Interview,” (Jan. 2017).</w:t>
      </w:r>
    </w:p>
    <w:p w14:paraId="12656401" w14:textId="630714FA" w:rsidR="005B0134" w:rsidRDefault="005B0134" w:rsidP="00F74237">
      <w:pPr>
        <w:ind w:left="720" w:hanging="720"/>
      </w:pPr>
    </w:p>
    <w:p w14:paraId="29366FFB" w14:textId="77777777" w:rsidR="005B0134" w:rsidRDefault="005B0134" w:rsidP="00F74237">
      <w:pPr>
        <w:ind w:left="720" w:hanging="720"/>
      </w:pPr>
    </w:p>
    <w:sectPr w:rsidR="005B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harter">
    <w:panose1 w:val="020005030600000200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54B03"/>
    <w:multiLevelType w:val="multilevel"/>
    <w:tmpl w:val="87BC9B9A"/>
    <w:lvl w:ilvl="0">
      <w:start w:val="1"/>
      <w:numFmt w:val="decimal"/>
      <w:lvlText w:val="%1."/>
      <w:lvlJc w:val="left"/>
      <w:pPr>
        <w:ind w:left="0" w:firstLine="0"/>
      </w:pPr>
      <w:rPr>
        <w:rFonts w:ascii="Charter" w:hAnsi="Charter" w:cs="Times New Roman" w:hint="default"/>
        <w:b/>
        <w:i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lowerRoman"/>
      <w:suff w:val="nothing"/>
      <w:lvlText w:val="%3.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suff w:val="nothing"/>
      <w:lvlText w:val="(%4)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suff w:val="nothing"/>
      <w:lvlText w:val="(%5)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suff w:val="nothing"/>
      <w:lvlText w:val="(%6)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nothing"/>
      <w:lvlText w:val="%7)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suff w:val="nothing"/>
      <w:lvlText w:val="%8)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suff w:val="nothing"/>
      <w:lvlText w:val="%9)"/>
      <w:lvlJc w:val="left"/>
      <w:pPr>
        <w:ind w:left="0" w:firstLine="0"/>
      </w:pPr>
      <w:rPr>
        <w:rFonts w:cs="Times New Roman" w:hint="default"/>
      </w:rPr>
    </w:lvl>
  </w:abstractNum>
  <w:num w:numId="1" w16cid:durableId="565992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textFit" w:percent="2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UwNDYwNjC3NjY0MDcyUdpeDU4uLM/DyQAsNaAIeKG9ssAAAA"/>
  </w:docVars>
  <w:rsids>
    <w:rsidRoot w:val="00F74237"/>
    <w:rsid w:val="001C34DB"/>
    <w:rsid w:val="00296036"/>
    <w:rsid w:val="005B0134"/>
    <w:rsid w:val="005C08C1"/>
    <w:rsid w:val="009A45C6"/>
    <w:rsid w:val="00A177C1"/>
    <w:rsid w:val="00E425CF"/>
    <w:rsid w:val="00F7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99BA8"/>
  <w15:chartTrackingRefBased/>
  <w15:docId w15:val="{CFD866B6-4F7E-4843-B9A8-6862E0A3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harter" w:eastAsiaTheme="minorHAnsi" w:hAnsi="Charter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C34DB"/>
    <w:pPr>
      <w:spacing w:after="0" w:line="240" w:lineRule="auto"/>
    </w:pPr>
    <w:rPr>
      <w:rFonts w:asciiTheme="majorHAnsi" w:eastAsiaTheme="majorEastAsia" w:hAnsiTheme="majorHAnsi" w:cstheme="majorBidi"/>
      <w:b/>
      <w:kern w:val="0"/>
      <w:sz w:val="20"/>
      <w:szCs w:val="20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1C34D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kern w:val="0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5B0134"/>
    <w:pPr>
      <w:spacing w:after="120" w:line="240" w:lineRule="auto"/>
      <w:ind w:left="720"/>
      <w:contextualSpacing/>
    </w:pPr>
    <w:rPr>
      <w:rFonts w:eastAsia="Times New Roman" w:cs="Times New Roman"/>
      <w:kern w:val="0"/>
      <w:szCs w:val="20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B0134"/>
    <w:rPr>
      <w:rFonts w:eastAsia="Times New Roman" w:cs="Times New Roman"/>
      <w:kern w:val="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5B01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aarb.org/proceedings/pdfs/1966-14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Hartsfield</dc:creator>
  <cp:keywords/>
  <dc:description/>
  <cp:lastModifiedBy>Will Hartsfield</cp:lastModifiedBy>
  <cp:revision>5</cp:revision>
  <cp:lastPrinted>2023-07-10T22:48:00Z</cp:lastPrinted>
  <dcterms:created xsi:type="dcterms:W3CDTF">2023-07-10T22:21:00Z</dcterms:created>
  <dcterms:modified xsi:type="dcterms:W3CDTF">2023-07-10T23:11:00Z</dcterms:modified>
</cp:coreProperties>
</file>